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D5C" w:rsidRPr="00B21D5C" w:rsidRDefault="00B21D5C" w:rsidP="00B21D5C">
      <w:pPr>
        <w:jc w:val="center"/>
        <w:rPr>
          <w:rFonts w:ascii="Californian FB" w:hAnsi="Californian FB"/>
          <w:b/>
          <w:color w:val="000000"/>
          <w:sz w:val="28"/>
          <w:szCs w:val="28"/>
        </w:rPr>
      </w:pPr>
      <w:r w:rsidRPr="00B21D5C">
        <w:rPr>
          <w:rFonts w:ascii="Californian FB" w:hAnsi="Californian FB"/>
          <w:b/>
          <w:color w:val="000000"/>
          <w:sz w:val="28"/>
          <w:szCs w:val="28"/>
        </w:rPr>
        <w:t>Performance Feedback</w:t>
      </w:r>
      <w:bookmarkStart w:id="0" w:name="_GoBack"/>
      <w:bookmarkEnd w:id="0"/>
    </w:p>
    <w:p w:rsidR="00B21D5C" w:rsidRDefault="00B21D5C" w:rsidP="00B21D5C">
      <w:pPr>
        <w:rPr>
          <w:rFonts w:ascii="Californian FB" w:hAnsi="Californian FB"/>
          <w:color w:val="000000"/>
          <w:sz w:val="24"/>
          <w:szCs w:val="24"/>
        </w:rPr>
      </w:pPr>
    </w:p>
    <w:p w:rsidR="00B21D5C" w:rsidRDefault="00B21D5C" w:rsidP="00B21D5C">
      <w:pPr>
        <w:rPr>
          <w:rFonts w:ascii="Californian FB" w:hAnsi="Californian FB"/>
          <w:color w:val="000000"/>
          <w:sz w:val="24"/>
          <w:szCs w:val="24"/>
        </w:rPr>
      </w:pPr>
    </w:p>
    <w:p w:rsidR="00B21D5C" w:rsidRDefault="00B21D5C" w:rsidP="00B21D5C">
      <w:pPr>
        <w:rPr>
          <w:rFonts w:ascii="Californian FB" w:hAnsi="Californian FB"/>
          <w:color w:val="000000"/>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781050" cy="711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711200"/>
                    </a:xfrm>
                    <a:prstGeom prst="rect">
                      <a:avLst/>
                    </a:prstGeom>
                    <a:noFill/>
                  </pic:spPr>
                </pic:pic>
              </a:graphicData>
            </a:graphic>
            <wp14:sizeRelH relativeFrom="page">
              <wp14:pctWidth>0</wp14:pctWidth>
            </wp14:sizeRelH>
            <wp14:sizeRelV relativeFrom="page">
              <wp14:pctHeight>0</wp14:pctHeight>
            </wp14:sizeRelV>
          </wp:anchor>
        </w:drawing>
      </w:r>
      <w:r>
        <w:rPr>
          <w:rFonts w:ascii="Californian FB" w:hAnsi="Californian FB"/>
          <w:color w:val="000000"/>
          <w:sz w:val="24"/>
          <w:szCs w:val="24"/>
        </w:rPr>
        <w:t xml:space="preserve">Are you unhappy with something going on in your department?  Is someone under-performing, less than collegial, displaying difficult behavior?  Feedback, while tough sometimes, is an important part of the role of the Chair.  Never document underperformance or incivility without talking with the individual </w:t>
      </w:r>
      <w:r>
        <w:rPr>
          <w:rFonts w:ascii="Californian FB" w:hAnsi="Californian FB"/>
          <w:i/>
          <w:iCs/>
          <w:color w:val="000000"/>
          <w:sz w:val="24"/>
          <w:szCs w:val="24"/>
        </w:rPr>
        <w:t>so that they have the opportunity to improve</w:t>
      </w:r>
      <w:r>
        <w:rPr>
          <w:rFonts w:ascii="Californian FB" w:hAnsi="Californian FB"/>
          <w:color w:val="000000"/>
          <w:sz w:val="24"/>
          <w:szCs w:val="24"/>
        </w:rPr>
        <w:t xml:space="preserve">.  Getting an annual evaluation full of negative feedback they have never heard before can lead to suspicion, resentment, and anger, and usually a visit to the Dean’s office.  And giving praise in the moment can improve trust, communication, collegiality, and the climate as a whole.  Regular praise/criticism that’s documented will also make the annual review easier for you.  </w:t>
      </w:r>
    </w:p>
    <w:p w:rsidR="00B21D5C" w:rsidRDefault="00B21D5C" w:rsidP="00B21D5C">
      <w:pPr>
        <w:rPr>
          <w:rFonts w:ascii="Californian FB" w:hAnsi="Californian FB"/>
          <w:color w:val="000000"/>
          <w:sz w:val="24"/>
          <w:szCs w:val="24"/>
        </w:rPr>
      </w:pPr>
    </w:p>
    <w:p w:rsidR="00B21D5C" w:rsidRDefault="00B21D5C" w:rsidP="00B21D5C">
      <w:pPr>
        <w:rPr>
          <w:rFonts w:ascii="Californian FB" w:hAnsi="Californian FB"/>
          <w:color w:val="000000"/>
          <w:sz w:val="24"/>
          <w:szCs w:val="24"/>
        </w:rPr>
      </w:pPr>
      <w:r>
        <w:rPr>
          <w:rFonts w:ascii="Californian FB" w:hAnsi="Californian FB"/>
          <w:color w:val="000000"/>
          <w:sz w:val="24"/>
          <w:szCs w:val="24"/>
        </w:rPr>
        <w:t xml:space="preserve">Here is a quick tip for giving meaningful feedback:  The </w:t>
      </w:r>
      <w:proofErr w:type="spellStart"/>
      <w:r>
        <w:rPr>
          <w:rFonts w:ascii="Californian FB" w:hAnsi="Californian FB"/>
          <w:color w:val="000000"/>
          <w:sz w:val="24"/>
          <w:szCs w:val="24"/>
        </w:rPr>
        <w:t>QNI</w:t>
      </w:r>
      <w:proofErr w:type="spellEnd"/>
      <w:r>
        <w:rPr>
          <w:rFonts w:ascii="Californian FB" w:hAnsi="Californian FB"/>
          <w:color w:val="000000"/>
          <w:sz w:val="24"/>
          <w:szCs w:val="24"/>
        </w:rPr>
        <w:t xml:space="preserve"> Method</w:t>
      </w:r>
    </w:p>
    <w:p w:rsidR="00B21D5C" w:rsidRDefault="00B21D5C" w:rsidP="00B21D5C">
      <w:pPr>
        <w:rPr>
          <w:rFonts w:ascii="Californian FB" w:hAnsi="Californian FB"/>
          <w:color w:val="000000"/>
          <w:sz w:val="24"/>
          <w:szCs w:val="24"/>
        </w:rPr>
      </w:pPr>
    </w:p>
    <w:p w:rsidR="00B21D5C" w:rsidRDefault="00B21D5C" w:rsidP="00B21D5C">
      <w:pPr>
        <w:rPr>
          <w:rFonts w:ascii="Californian FB" w:hAnsi="Californian FB"/>
          <w:snapToGrid w:val="0"/>
          <w:sz w:val="24"/>
          <w:szCs w:val="24"/>
        </w:rPr>
      </w:pPr>
      <w:r>
        <w:rPr>
          <w:rFonts w:ascii="Californian FB" w:hAnsi="Californian FB"/>
          <w:b/>
          <w:bCs/>
          <w:snapToGrid w:val="0"/>
          <w:sz w:val="24"/>
          <w:szCs w:val="24"/>
        </w:rPr>
        <w:t xml:space="preserve">Q – Quote </w:t>
      </w:r>
      <w:proofErr w:type="gramStart"/>
      <w:r>
        <w:rPr>
          <w:rFonts w:ascii="Californian FB" w:hAnsi="Californian FB"/>
          <w:b/>
          <w:bCs/>
          <w:snapToGrid w:val="0"/>
          <w:sz w:val="24"/>
          <w:szCs w:val="24"/>
        </w:rPr>
        <w:t>It</w:t>
      </w:r>
      <w:proofErr w:type="gramEnd"/>
      <w:r>
        <w:rPr>
          <w:rFonts w:ascii="Californian FB" w:hAnsi="Californian FB"/>
          <w:b/>
          <w:bCs/>
          <w:snapToGrid w:val="0"/>
          <w:sz w:val="24"/>
          <w:szCs w:val="24"/>
        </w:rPr>
        <w:t xml:space="preserve"> – </w:t>
      </w:r>
      <w:r>
        <w:rPr>
          <w:rFonts w:ascii="Californian FB" w:hAnsi="Californian FB"/>
          <w:snapToGrid w:val="0"/>
          <w:sz w:val="24"/>
          <w:szCs w:val="24"/>
        </w:rPr>
        <w:t xml:space="preserve">quote what was said or describe the behavior that you observed (as if mirroring).  </w:t>
      </w:r>
    </w:p>
    <w:p w:rsidR="00B21D5C" w:rsidRDefault="00B21D5C" w:rsidP="00B21D5C">
      <w:pPr>
        <w:rPr>
          <w:rFonts w:ascii="Californian FB" w:hAnsi="Californian FB"/>
          <w:snapToGrid w:val="0"/>
          <w:sz w:val="24"/>
          <w:szCs w:val="24"/>
        </w:rPr>
      </w:pPr>
      <w:r>
        <w:rPr>
          <w:rFonts w:ascii="Californian FB" w:hAnsi="Californian FB"/>
          <w:snapToGrid w:val="0"/>
          <w:color w:val="181818"/>
          <w:sz w:val="24"/>
          <w:szCs w:val="24"/>
        </w:rPr>
        <w:t>Example</w:t>
      </w:r>
      <w:r>
        <w:rPr>
          <w:rFonts w:ascii="Californian FB" w:hAnsi="Californian FB"/>
          <w:snapToGrid w:val="0"/>
          <w:sz w:val="24"/>
          <w:szCs w:val="24"/>
        </w:rPr>
        <w:t xml:space="preserve">:  “You responded to the criticism on your research very well, without getting </w:t>
      </w:r>
      <w:proofErr w:type="gramStart"/>
      <w:r>
        <w:rPr>
          <w:rFonts w:ascii="Californian FB" w:hAnsi="Californian FB"/>
          <w:snapToGrid w:val="0"/>
          <w:sz w:val="24"/>
          <w:szCs w:val="24"/>
        </w:rPr>
        <w:t>defensive .”</w:t>
      </w:r>
      <w:proofErr w:type="gramEnd"/>
    </w:p>
    <w:p w:rsidR="00B21D5C" w:rsidRDefault="00B21D5C" w:rsidP="00B21D5C">
      <w:pPr>
        <w:rPr>
          <w:rFonts w:ascii="Californian FB" w:hAnsi="Californian FB"/>
          <w:snapToGrid w:val="0"/>
          <w:sz w:val="24"/>
          <w:szCs w:val="24"/>
        </w:rPr>
      </w:pPr>
      <w:r>
        <w:rPr>
          <w:rFonts w:ascii="Californian FB" w:hAnsi="Californian FB"/>
          <w:snapToGrid w:val="0"/>
          <w:color w:val="1E4B37"/>
          <w:sz w:val="24"/>
          <w:szCs w:val="24"/>
        </w:rPr>
        <w:t>Example</w:t>
      </w:r>
      <w:r>
        <w:rPr>
          <w:rFonts w:ascii="Californian FB" w:hAnsi="Californian FB"/>
          <w:snapToGrid w:val="0"/>
          <w:sz w:val="24"/>
          <w:szCs w:val="24"/>
        </w:rPr>
        <w:t>: “You rolled your eyes after that student asked you a question.”</w:t>
      </w:r>
    </w:p>
    <w:p w:rsidR="00B21D5C" w:rsidRDefault="00B21D5C" w:rsidP="00B21D5C">
      <w:pPr>
        <w:rPr>
          <w:rFonts w:ascii="Californian FB" w:hAnsi="Californian FB"/>
          <w:snapToGrid w:val="0"/>
          <w:sz w:val="24"/>
          <w:szCs w:val="24"/>
        </w:rPr>
      </w:pPr>
    </w:p>
    <w:p w:rsidR="00B21D5C" w:rsidRDefault="00B21D5C" w:rsidP="00B21D5C">
      <w:pPr>
        <w:rPr>
          <w:rFonts w:ascii="Californian FB" w:hAnsi="Californian FB"/>
          <w:snapToGrid w:val="0"/>
          <w:sz w:val="24"/>
          <w:szCs w:val="24"/>
        </w:rPr>
      </w:pPr>
      <w:r>
        <w:rPr>
          <w:rFonts w:ascii="Californian FB" w:hAnsi="Californian FB"/>
          <w:b/>
          <w:bCs/>
          <w:snapToGrid w:val="0"/>
          <w:sz w:val="24"/>
          <w:szCs w:val="24"/>
        </w:rPr>
        <w:t xml:space="preserve">N – Name </w:t>
      </w:r>
      <w:proofErr w:type="gramStart"/>
      <w:r>
        <w:rPr>
          <w:rFonts w:ascii="Californian FB" w:hAnsi="Californian FB"/>
          <w:b/>
          <w:bCs/>
          <w:snapToGrid w:val="0"/>
          <w:sz w:val="24"/>
          <w:szCs w:val="24"/>
        </w:rPr>
        <w:t>It</w:t>
      </w:r>
      <w:proofErr w:type="gramEnd"/>
      <w:r>
        <w:rPr>
          <w:rFonts w:ascii="Californian FB" w:hAnsi="Californian FB"/>
          <w:b/>
          <w:bCs/>
          <w:snapToGrid w:val="0"/>
          <w:sz w:val="24"/>
          <w:szCs w:val="24"/>
        </w:rPr>
        <w:t xml:space="preserve"> – </w:t>
      </w:r>
      <w:r>
        <w:rPr>
          <w:rFonts w:ascii="Californian FB" w:hAnsi="Californian FB"/>
          <w:snapToGrid w:val="0"/>
          <w:sz w:val="24"/>
          <w:szCs w:val="24"/>
        </w:rPr>
        <w:t xml:space="preserve">name the skill/behavior that was observed (underlined below). </w:t>
      </w:r>
    </w:p>
    <w:p w:rsidR="00B21D5C" w:rsidRDefault="00B21D5C" w:rsidP="00B21D5C">
      <w:pPr>
        <w:rPr>
          <w:rFonts w:ascii="Californian FB" w:hAnsi="Californian FB"/>
          <w:snapToGrid w:val="0"/>
          <w:sz w:val="24"/>
          <w:szCs w:val="24"/>
        </w:rPr>
      </w:pPr>
      <w:r>
        <w:rPr>
          <w:rFonts w:ascii="Californian FB" w:hAnsi="Californian FB"/>
          <w:snapToGrid w:val="0"/>
          <w:color w:val="181818"/>
          <w:sz w:val="24"/>
          <w:szCs w:val="24"/>
        </w:rPr>
        <w:t>Example</w:t>
      </w:r>
      <w:r>
        <w:rPr>
          <w:rFonts w:ascii="Californian FB" w:hAnsi="Californian FB"/>
          <w:snapToGrid w:val="0"/>
          <w:sz w:val="24"/>
          <w:szCs w:val="24"/>
        </w:rPr>
        <w:t xml:space="preserve">:  “That was a great example of your </w:t>
      </w:r>
      <w:r>
        <w:rPr>
          <w:rFonts w:ascii="Californian FB" w:hAnsi="Californian FB"/>
          <w:snapToGrid w:val="0"/>
          <w:sz w:val="24"/>
          <w:szCs w:val="24"/>
          <w:u w:val="single"/>
        </w:rPr>
        <w:t>ability to listen and respond with civility</w:t>
      </w:r>
      <w:r>
        <w:rPr>
          <w:rFonts w:ascii="Californian FB" w:hAnsi="Californian FB"/>
          <w:snapToGrid w:val="0"/>
          <w:sz w:val="24"/>
          <w:szCs w:val="24"/>
        </w:rPr>
        <w:t>.”</w:t>
      </w:r>
    </w:p>
    <w:p w:rsidR="00B21D5C" w:rsidRDefault="00B21D5C" w:rsidP="00B21D5C">
      <w:pPr>
        <w:rPr>
          <w:rFonts w:ascii="Californian FB" w:hAnsi="Californian FB"/>
          <w:snapToGrid w:val="0"/>
          <w:sz w:val="24"/>
          <w:szCs w:val="24"/>
        </w:rPr>
      </w:pPr>
      <w:r>
        <w:rPr>
          <w:rFonts w:ascii="Californian FB" w:hAnsi="Californian FB"/>
          <w:snapToGrid w:val="0"/>
          <w:color w:val="1E4B37"/>
          <w:sz w:val="24"/>
          <w:szCs w:val="24"/>
        </w:rPr>
        <w:t>Example:</w:t>
      </w:r>
      <w:r>
        <w:rPr>
          <w:rFonts w:ascii="Californian FB" w:hAnsi="Californian FB"/>
          <w:snapToGrid w:val="0"/>
          <w:sz w:val="24"/>
          <w:szCs w:val="24"/>
        </w:rPr>
        <w:t xml:space="preserve"> “That isn’t the expectation we have for </w:t>
      </w:r>
      <w:r>
        <w:rPr>
          <w:rFonts w:ascii="Californian FB" w:hAnsi="Californian FB"/>
          <w:snapToGrid w:val="0"/>
          <w:sz w:val="24"/>
          <w:szCs w:val="24"/>
          <w:u w:val="single"/>
        </w:rPr>
        <w:t>respectful student service</w:t>
      </w:r>
      <w:r>
        <w:rPr>
          <w:rFonts w:ascii="Californian FB" w:hAnsi="Californian FB"/>
          <w:snapToGrid w:val="0"/>
          <w:sz w:val="24"/>
          <w:szCs w:val="24"/>
        </w:rPr>
        <w:t>”</w:t>
      </w:r>
    </w:p>
    <w:p w:rsidR="00B21D5C" w:rsidRDefault="00B21D5C" w:rsidP="00B21D5C">
      <w:pPr>
        <w:rPr>
          <w:rFonts w:ascii="Californian FB" w:hAnsi="Californian FB"/>
          <w:b/>
          <w:bCs/>
          <w:snapToGrid w:val="0"/>
          <w:sz w:val="24"/>
          <w:szCs w:val="24"/>
        </w:rPr>
      </w:pPr>
    </w:p>
    <w:p w:rsidR="00B21D5C" w:rsidRDefault="00B21D5C" w:rsidP="00B21D5C">
      <w:pPr>
        <w:rPr>
          <w:rFonts w:ascii="Californian FB" w:hAnsi="Californian FB"/>
          <w:snapToGrid w:val="0"/>
          <w:sz w:val="24"/>
          <w:szCs w:val="24"/>
        </w:rPr>
      </w:pPr>
      <w:r>
        <w:rPr>
          <w:rFonts w:ascii="Californian FB" w:hAnsi="Californian FB"/>
          <w:b/>
          <w:bCs/>
          <w:snapToGrid w:val="0"/>
          <w:sz w:val="24"/>
          <w:szCs w:val="24"/>
        </w:rPr>
        <w:t xml:space="preserve">I – Impact – </w:t>
      </w:r>
      <w:r>
        <w:rPr>
          <w:rFonts w:ascii="Californian FB" w:hAnsi="Californian FB"/>
          <w:snapToGrid w:val="0"/>
          <w:sz w:val="24"/>
          <w:szCs w:val="24"/>
        </w:rPr>
        <w:t xml:space="preserve">describe the impact of what they said or their behavior; </w:t>
      </w:r>
      <w:r>
        <w:rPr>
          <w:rFonts w:ascii="Californian FB" w:hAnsi="Californian FB"/>
          <w:b/>
          <w:bCs/>
          <w:snapToGrid w:val="0"/>
          <w:sz w:val="24"/>
          <w:szCs w:val="24"/>
        </w:rPr>
        <w:t>or</w:t>
      </w:r>
      <w:r>
        <w:rPr>
          <w:rFonts w:ascii="Californian FB" w:hAnsi="Californian FB"/>
          <w:snapToGrid w:val="0"/>
          <w:sz w:val="24"/>
          <w:szCs w:val="24"/>
        </w:rPr>
        <w:t xml:space="preserve"> ask the employee what they think the impact was on the student, their colleague, etc.</w:t>
      </w:r>
    </w:p>
    <w:p w:rsidR="00B21D5C" w:rsidRDefault="00B21D5C" w:rsidP="00B21D5C">
      <w:pPr>
        <w:rPr>
          <w:rFonts w:ascii="Californian FB" w:hAnsi="Californian FB"/>
          <w:snapToGrid w:val="0"/>
          <w:sz w:val="24"/>
          <w:szCs w:val="24"/>
        </w:rPr>
      </w:pPr>
      <w:r>
        <w:rPr>
          <w:rFonts w:ascii="Californian FB" w:hAnsi="Californian FB"/>
          <w:snapToGrid w:val="0"/>
          <w:color w:val="181818"/>
          <w:sz w:val="24"/>
          <w:szCs w:val="24"/>
        </w:rPr>
        <w:t>Example</w:t>
      </w:r>
      <w:r>
        <w:rPr>
          <w:rFonts w:ascii="Californian FB" w:hAnsi="Californian FB"/>
          <w:snapToGrid w:val="0"/>
          <w:sz w:val="24"/>
          <w:szCs w:val="24"/>
        </w:rPr>
        <w:t xml:space="preserve">:  “It was obvious by that critic’s reaction that </w:t>
      </w:r>
      <w:r>
        <w:rPr>
          <w:rFonts w:ascii="Californian FB" w:hAnsi="Californian FB"/>
          <w:snapToGrid w:val="0"/>
          <w:sz w:val="24"/>
          <w:szCs w:val="24"/>
          <w:u w:val="single"/>
        </w:rPr>
        <w:t>she felt understood and pleased</w:t>
      </w:r>
      <w:r>
        <w:rPr>
          <w:rFonts w:ascii="Californian FB" w:hAnsi="Californian FB"/>
          <w:snapToGrid w:val="0"/>
          <w:sz w:val="24"/>
          <w:szCs w:val="24"/>
        </w:rPr>
        <w:t xml:space="preserve"> that you were willing to make some changes.”</w:t>
      </w:r>
    </w:p>
    <w:p w:rsidR="00B21D5C" w:rsidRDefault="00B21D5C" w:rsidP="00B21D5C">
      <w:pPr>
        <w:rPr>
          <w:rFonts w:ascii="Californian FB" w:hAnsi="Californian FB"/>
          <w:snapToGrid w:val="0"/>
          <w:sz w:val="24"/>
          <w:szCs w:val="24"/>
        </w:rPr>
      </w:pPr>
      <w:r>
        <w:rPr>
          <w:rFonts w:ascii="Californian FB" w:hAnsi="Californian FB"/>
          <w:snapToGrid w:val="0"/>
          <w:color w:val="1E4B37"/>
          <w:sz w:val="24"/>
          <w:szCs w:val="24"/>
        </w:rPr>
        <w:t>Example:</w:t>
      </w:r>
      <w:r>
        <w:rPr>
          <w:rFonts w:ascii="Californian FB" w:hAnsi="Californian FB"/>
          <w:snapToGrid w:val="0"/>
          <w:sz w:val="24"/>
          <w:szCs w:val="24"/>
        </w:rPr>
        <w:t xml:space="preserve"> “As a result, the student </w:t>
      </w:r>
      <w:r>
        <w:rPr>
          <w:rFonts w:ascii="Californian FB" w:hAnsi="Californian FB"/>
          <w:snapToGrid w:val="0"/>
          <w:sz w:val="24"/>
          <w:szCs w:val="24"/>
          <w:u w:val="single"/>
        </w:rPr>
        <w:t>looked away</w:t>
      </w:r>
      <w:r>
        <w:rPr>
          <w:rFonts w:ascii="Californian FB" w:hAnsi="Californian FB"/>
          <w:snapToGrid w:val="0"/>
          <w:sz w:val="24"/>
          <w:szCs w:val="24"/>
        </w:rPr>
        <w:t xml:space="preserve"> and was </w:t>
      </w:r>
      <w:r>
        <w:rPr>
          <w:rFonts w:ascii="Californian FB" w:hAnsi="Californian FB"/>
          <w:snapToGrid w:val="0"/>
          <w:sz w:val="24"/>
          <w:szCs w:val="24"/>
          <w:u w:val="single"/>
        </w:rPr>
        <w:t>embarrassed</w:t>
      </w:r>
      <w:r>
        <w:rPr>
          <w:rFonts w:ascii="Californian FB" w:hAnsi="Californian FB"/>
          <w:snapToGrid w:val="0"/>
          <w:sz w:val="24"/>
          <w:szCs w:val="24"/>
        </w:rPr>
        <w:t>.”</w:t>
      </w:r>
    </w:p>
    <w:p w:rsidR="00B21D5C" w:rsidRDefault="00B21D5C" w:rsidP="00B21D5C">
      <w:pPr>
        <w:rPr>
          <w:rFonts w:ascii="Californian FB" w:hAnsi="Californian FB"/>
          <w:color w:val="000000"/>
          <w:sz w:val="24"/>
          <w:szCs w:val="24"/>
        </w:rPr>
      </w:pPr>
    </w:p>
    <w:p w:rsidR="00B21D5C" w:rsidRDefault="00B21D5C" w:rsidP="00B21D5C">
      <w:pPr>
        <w:ind w:firstLine="720"/>
        <w:rPr>
          <w:rFonts w:ascii="Californian FB" w:hAnsi="Californian FB"/>
          <w:i/>
          <w:iCs/>
          <w:snapToGrid w:val="0"/>
          <w:sz w:val="24"/>
          <w:szCs w:val="24"/>
        </w:rPr>
      </w:pPr>
      <w:r>
        <w:rPr>
          <w:rFonts w:ascii="Californian FB" w:hAnsi="Californian FB"/>
          <w:i/>
          <w:iCs/>
          <w:snapToGrid w:val="0"/>
          <w:sz w:val="24"/>
          <w:szCs w:val="24"/>
        </w:rPr>
        <w:t xml:space="preserve">*Be sure each aspect of the </w:t>
      </w:r>
      <w:proofErr w:type="spellStart"/>
      <w:r>
        <w:rPr>
          <w:rFonts w:ascii="Californian FB" w:hAnsi="Californian FB"/>
          <w:snapToGrid w:val="0"/>
          <w:sz w:val="24"/>
          <w:szCs w:val="24"/>
        </w:rPr>
        <w:t>QNI</w:t>
      </w:r>
      <w:proofErr w:type="spellEnd"/>
      <w:r>
        <w:rPr>
          <w:rFonts w:ascii="Californian FB" w:hAnsi="Californian FB"/>
          <w:i/>
          <w:iCs/>
          <w:snapToGrid w:val="0"/>
          <w:sz w:val="24"/>
          <w:szCs w:val="24"/>
        </w:rPr>
        <w:t xml:space="preserve"> is specific, and without your assumptions/interpretations!</w:t>
      </w:r>
    </w:p>
    <w:p w:rsidR="00B21D5C" w:rsidRDefault="00B21D5C" w:rsidP="00B21D5C">
      <w:pPr>
        <w:rPr>
          <w:rFonts w:ascii="Californian FB" w:hAnsi="Californian FB"/>
          <w:color w:val="000000"/>
          <w:sz w:val="24"/>
          <w:szCs w:val="24"/>
        </w:rPr>
      </w:pPr>
    </w:p>
    <w:p w:rsidR="00B21D5C" w:rsidRDefault="00B21D5C" w:rsidP="00B21D5C">
      <w:pPr>
        <w:rPr>
          <w:rFonts w:ascii="Californian FB" w:hAnsi="Californian FB"/>
          <w:color w:val="000000"/>
          <w:sz w:val="24"/>
          <w:szCs w:val="24"/>
        </w:rPr>
      </w:pPr>
      <w:r>
        <w:rPr>
          <w:rFonts w:ascii="Californian FB" w:hAnsi="Californian FB"/>
          <w:color w:val="000000"/>
          <w:sz w:val="24"/>
          <w:szCs w:val="24"/>
        </w:rPr>
        <w:t>This may be difficult at first if it’s not the norm in your department, however, work through the resistance until it is the norm.  The payoff will be worth the effort.</w:t>
      </w:r>
    </w:p>
    <w:p w:rsidR="00B21D5C" w:rsidRDefault="00B21D5C" w:rsidP="00B21D5C">
      <w:pPr>
        <w:rPr>
          <w:rFonts w:ascii="Californian FB" w:hAnsi="Californian FB"/>
          <w:color w:val="000000"/>
          <w:sz w:val="24"/>
          <w:szCs w:val="24"/>
        </w:rPr>
      </w:pPr>
    </w:p>
    <w:p w:rsidR="00B21D5C" w:rsidRDefault="00B21D5C" w:rsidP="00B21D5C">
      <w:pPr>
        <w:rPr>
          <w:rFonts w:ascii="Californian FB" w:hAnsi="Californian FB"/>
          <w:color w:val="000000"/>
        </w:rPr>
      </w:pPr>
      <w:r>
        <w:rPr>
          <w:rFonts w:ascii="Californian FB" w:hAnsi="Californian FB"/>
          <w:color w:val="000000"/>
        </w:rPr>
        <w:t xml:space="preserve">Kristine Paranica, </w:t>
      </w:r>
      <w:proofErr w:type="spellStart"/>
      <w:r>
        <w:rPr>
          <w:rFonts w:ascii="Californian FB" w:hAnsi="Californian FB"/>
          <w:color w:val="000000"/>
        </w:rPr>
        <w:t>NDSU</w:t>
      </w:r>
      <w:proofErr w:type="spellEnd"/>
      <w:r>
        <w:rPr>
          <w:rFonts w:ascii="Californian FB" w:hAnsi="Californian FB"/>
          <w:color w:val="000000"/>
        </w:rPr>
        <w:t xml:space="preserve"> </w:t>
      </w:r>
      <w:proofErr w:type="spellStart"/>
      <w:r>
        <w:rPr>
          <w:rFonts w:ascii="Californian FB" w:hAnsi="Californian FB"/>
          <w:color w:val="000000"/>
        </w:rPr>
        <w:t>Ombud</w:t>
      </w:r>
      <w:proofErr w:type="spellEnd"/>
      <w:r>
        <w:rPr>
          <w:rFonts w:ascii="Californian FB" w:hAnsi="Californian FB"/>
          <w:color w:val="000000"/>
        </w:rPr>
        <w:t>, 701-231-5114, Old Main 203 (temp)</w:t>
      </w:r>
    </w:p>
    <w:p w:rsidR="00B21D5C" w:rsidRDefault="00B21D5C" w:rsidP="00B21D5C">
      <w:pPr>
        <w:rPr>
          <w:rFonts w:ascii="Californian FB" w:hAnsi="Californian FB"/>
          <w:color w:val="000000"/>
        </w:rPr>
      </w:pPr>
    </w:p>
    <w:p w:rsidR="00B21D5C" w:rsidRDefault="00B21D5C" w:rsidP="00B21D5C">
      <w:r>
        <w:rPr>
          <w:color w:val="1F497D"/>
        </w:rPr>
        <w:t xml:space="preserve">This is a part of a series of monthly tips from the </w:t>
      </w:r>
      <w:proofErr w:type="spellStart"/>
      <w:r>
        <w:rPr>
          <w:color w:val="1F497D"/>
        </w:rPr>
        <w:t>NDSU</w:t>
      </w:r>
      <w:proofErr w:type="spellEnd"/>
      <w:r>
        <w:rPr>
          <w:color w:val="1F497D"/>
        </w:rPr>
        <w:t xml:space="preserve"> </w:t>
      </w:r>
      <w:proofErr w:type="spellStart"/>
      <w:r>
        <w:rPr>
          <w:color w:val="1F497D"/>
        </w:rPr>
        <w:t>Ombud</w:t>
      </w:r>
      <w:proofErr w:type="spellEnd"/>
      <w:r>
        <w:rPr>
          <w:color w:val="1F497D"/>
        </w:rPr>
        <w:t xml:space="preserve"> to assist you in preventing, managing and resolving conflict in your department, and keeping Chairs out of the “hot seat”.  Contact Kristine at any time to discuss any issues you are experiencing.</w:t>
      </w:r>
    </w:p>
    <w:p w:rsidR="00B21D5C" w:rsidRDefault="00B21D5C" w:rsidP="00B21D5C">
      <w:pPr>
        <w:rPr>
          <w:rFonts w:ascii="Californian FB" w:hAnsi="Californian FB"/>
          <w:color w:val="000000"/>
        </w:rPr>
      </w:pPr>
    </w:p>
    <w:p w:rsidR="00172F76" w:rsidRDefault="00172F76"/>
    <w:sectPr w:rsidR="00172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5C"/>
    <w:rsid w:val="00172F76"/>
    <w:rsid w:val="00B2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74B36-44CA-4975-9FF1-B179176F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5C"/>
    <w:pPr>
      <w:spacing w:after="0" w:line="240" w:lineRule="auto"/>
    </w:pPr>
    <w:rPr>
      <w:rFonts w:ascii="Garamond"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Company>North Dakota State University</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Paranica</dc:creator>
  <cp:keywords/>
  <dc:description/>
  <cp:lastModifiedBy>Kristine Paranica</cp:lastModifiedBy>
  <cp:revision>1</cp:revision>
  <dcterms:created xsi:type="dcterms:W3CDTF">2014-11-04T15:44:00Z</dcterms:created>
  <dcterms:modified xsi:type="dcterms:W3CDTF">2014-11-04T15:46:00Z</dcterms:modified>
</cp:coreProperties>
</file>