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43BD02E5" w:rsidR="00F24B5B" w:rsidRDefault="00820462" w:rsidP="00D677CC">
      <w:pPr>
        <w:jc w:val="center"/>
        <w:rPr>
          <w:rFonts w:ascii="Calibri" w:hAnsi="Calibri"/>
          <w:b/>
          <w:caps/>
          <w:sz w:val="28"/>
        </w:rPr>
      </w:pPr>
      <w:bookmarkStart w:id="0" w:name="top"/>
      <w:bookmarkStart w:id="1" w:name="_GoBack"/>
      <w:bookmarkEnd w:id="0"/>
      <w:bookmarkEnd w:id="1"/>
      <w:r w:rsidRPr="0076201D">
        <w:rPr>
          <w:rFonts w:ascii="Calibri" w:hAnsi="Calibri"/>
          <w:b/>
          <w:caps/>
          <w:sz w:val="28"/>
        </w:rPr>
        <w:t xml:space="preserve">Syllabus </w:t>
      </w:r>
      <w:r w:rsidR="009B1887">
        <w:rPr>
          <w:rFonts w:ascii="Calibri" w:hAnsi="Calibri"/>
          <w:b/>
          <w:caps/>
          <w:sz w:val="28"/>
        </w:rPr>
        <w:t>Statements</w:t>
      </w:r>
      <w:r w:rsidR="00F24B5B">
        <w:rPr>
          <w:rFonts w:ascii="Calibri" w:hAnsi="Calibri"/>
          <w:b/>
          <w:caps/>
          <w:sz w:val="28"/>
        </w:rPr>
        <w:t xml:space="preserve"> For General Education Course</w:t>
      </w:r>
    </w:p>
    <w:p w14:paraId="7881637E" w14:textId="64620CC0" w:rsidR="0076201D" w:rsidRPr="0076201D" w:rsidRDefault="00F24B5B" w:rsidP="00D677CC">
      <w:pPr>
        <w:jc w:val="center"/>
        <w:rPr>
          <w:rFonts w:ascii="Calibri" w:hAnsi="Calibri"/>
          <w:b/>
          <w:caps/>
          <w:sz w:val="28"/>
        </w:rPr>
      </w:pPr>
      <w:r>
        <w:rPr>
          <w:rFonts w:ascii="Calibri" w:hAnsi="Calibri"/>
          <w:b/>
          <w:caps/>
          <w:sz w:val="28"/>
        </w:rPr>
        <w:t>Category</w:t>
      </w:r>
      <w:r w:rsidR="009B1887">
        <w:rPr>
          <w:rFonts w:ascii="Calibri" w:hAnsi="Calibri"/>
          <w:b/>
          <w:caps/>
          <w:sz w:val="28"/>
        </w:rPr>
        <w:t>s</w:t>
      </w:r>
      <w:r>
        <w:rPr>
          <w:rFonts w:ascii="Calibri" w:hAnsi="Calibri"/>
          <w:b/>
          <w:caps/>
          <w:sz w:val="28"/>
        </w:rPr>
        <w:t xml:space="preserve"> </w:t>
      </w:r>
      <w:r w:rsidR="009B1887">
        <w:rPr>
          <w:rFonts w:ascii="Calibri" w:hAnsi="Calibri"/>
          <w:b/>
          <w:caps/>
          <w:sz w:val="28"/>
        </w:rPr>
        <w:t>D</w:t>
      </w:r>
      <w:r>
        <w:rPr>
          <w:rFonts w:ascii="Calibri" w:hAnsi="Calibri"/>
          <w:b/>
          <w:caps/>
          <w:sz w:val="28"/>
        </w:rPr>
        <w:t xml:space="preserve">, </w:t>
      </w:r>
      <w:r w:rsidR="009B1887">
        <w:rPr>
          <w:rFonts w:ascii="Calibri" w:hAnsi="Calibri"/>
          <w:b/>
          <w:caps/>
          <w:sz w:val="28"/>
        </w:rPr>
        <w:t>Cultural Diversity or G, Global Perspectives</w:t>
      </w:r>
      <w:r w:rsidR="0076201D" w:rsidRPr="0076201D">
        <w:rPr>
          <w:rFonts w:ascii="Calibri" w:hAnsi="Calibri"/>
          <w:b/>
          <w:caps/>
          <w:sz w:val="28"/>
        </w:rPr>
        <w:t xml:space="preserve"> </w:t>
      </w:r>
    </w:p>
    <w:p w14:paraId="16D2D66E" w14:textId="77777777" w:rsidR="007108CD" w:rsidRDefault="007108CD" w:rsidP="00D677CC">
      <w:pPr>
        <w:rPr>
          <w:rFonts w:ascii="Calibri" w:hAnsi="Calibri"/>
        </w:rPr>
      </w:pPr>
    </w:p>
    <w:p w14:paraId="317904F7" w14:textId="6A068735" w:rsidR="007108CD" w:rsidRPr="004D3DE1" w:rsidRDefault="009B1887" w:rsidP="00D677CC">
      <w:pPr>
        <w:rPr>
          <w:rFonts w:ascii="Calibri" w:hAnsi="Calibri"/>
          <w:sz w:val="21"/>
          <w:szCs w:val="21"/>
        </w:rPr>
      </w:pPr>
      <w:r>
        <w:rPr>
          <w:rFonts w:ascii="Calibri" w:hAnsi="Calibri"/>
          <w:sz w:val="21"/>
          <w:szCs w:val="21"/>
        </w:rPr>
        <w:t>The D and G categories can only be embedded in a General Education courses that already covers to the categories of C, R, S, A, B, or W.  In addition to those learning outcomes include the appropriate statement from below, and be sure to cl</w:t>
      </w:r>
      <w:r w:rsidRPr="009B1887">
        <w:rPr>
          <w:rFonts w:ascii="Calibri" w:hAnsi="Calibri"/>
          <w:sz w:val="21"/>
          <w:szCs w:val="21"/>
        </w:rPr>
        <w:t>early indicate how the General Education outcomes will be assessed/evaluated to verify that students will meet these.</w:t>
      </w:r>
    </w:p>
    <w:p w14:paraId="0AC04AC1" w14:textId="77777777" w:rsidR="00005E3B" w:rsidRPr="004D3DE1" w:rsidRDefault="00005E3B" w:rsidP="00D677CC">
      <w:pPr>
        <w:rPr>
          <w:rFonts w:ascii="Calibri" w:hAnsi="Calibri"/>
          <w:sz w:val="21"/>
          <w:szCs w:val="21"/>
        </w:rPr>
      </w:pPr>
    </w:p>
    <w:p w14:paraId="77B6C5CD" w14:textId="77777777" w:rsidR="0002258C" w:rsidRPr="004D3DE1" w:rsidRDefault="0002258C" w:rsidP="00D677CC">
      <w:pPr>
        <w:rPr>
          <w:rFonts w:asciiTheme="minorHAnsi" w:hAnsiTheme="minorHAnsi"/>
          <w:b/>
          <w:sz w:val="21"/>
          <w:szCs w:val="21"/>
        </w:rPr>
      </w:pPr>
    </w:p>
    <w:p w14:paraId="39CF4CF9" w14:textId="656D6181" w:rsidR="00042C9D" w:rsidRDefault="00042C9D" w:rsidP="00D677CC">
      <w:pPr>
        <w:rPr>
          <w:rFonts w:ascii="Calibri" w:hAnsi="Calibri"/>
          <w:b/>
          <w:smallCaps/>
          <w:szCs w:val="21"/>
          <w:u w:val="single"/>
        </w:rPr>
      </w:pPr>
      <w:r>
        <w:rPr>
          <w:rFonts w:ascii="Calibri" w:hAnsi="Calibri"/>
          <w:b/>
          <w:smallCaps/>
          <w:szCs w:val="21"/>
          <w:u w:val="single"/>
        </w:rPr>
        <w:t xml:space="preserve">General Education Approved Course for the </w:t>
      </w:r>
      <w:r w:rsidR="009B1887">
        <w:rPr>
          <w:rFonts w:ascii="Calibri" w:hAnsi="Calibri"/>
          <w:b/>
          <w:smallCaps/>
          <w:szCs w:val="21"/>
          <w:u w:val="single"/>
        </w:rPr>
        <w:t>Cultural Diversity</w:t>
      </w:r>
      <w:r>
        <w:rPr>
          <w:rFonts w:ascii="Calibri" w:hAnsi="Calibri"/>
          <w:b/>
          <w:smallCaps/>
          <w:szCs w:val="21"/>
          <w:u w:val="single"/>
        </w:rPr>
        <w:t xml:space="preserve"> (</w:t>
      </w:r>
      <w:r w:rsidR="009B1887">
        <w:rPr>
          <w:rFonts w:ascii="Calibri" w:hAnsi="Calibri"/>
          <w:b/>
          <w:smallCaps/>
          <w:szCs w:val="21"/>
          <w:u w:val="single"/>
        </w:rPr>
        <w:t>D</w:t>
      </w:r>
      <w:r>
        <w:rPr>
          <w:rFonts w:ascii="Calibri" w:hAnsi="Calibri"/>
          <w:b/>
          <w:smallCaps/>
          <w:szCs w:val="21"/>
          <w:u w:val="single"/>
        </w:rPr>
        <w:t>) Category</w:t>
      </w:r>
    </w:p>
    <w:p w14:paraId="102A31C5" w14:textId="6EC46092" w:rsidR="00042C9D" w:rsidRDefault="00042C9D" w:rsidP="00D677CC">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9B1887">
        <w:rPr>
          <w:rFonts w:asciiTheme="minorHAnsi" w:hAnsiTheme="minorHAnsi" w:cstheme="minorHAnsi"/>
          <w:sz w:val="21"/>
          <w:szCs w:val="21"/>
        </w:rPr>
        <w:t>Cultural Diversity</w:t>
      </w:r>
      <w:r w:rsidR="00DF4218">
        <w:rPr>
          <w:rFonts w:asciiTheme="minorHAnsi" w:hAnsiTheme="minorHAnsi" w:cstheme="minorHAnsi"/>
          <w:sz w:val="21"/>
          <w:szCs w:val="21"/>
        </w:rPr>
        <w:t>.</w:t>
      </w:r>
    </w:p>
    <w:p w14:paraId="7CE11E46" w14:textId="77777777" w:rsidR="00E327F0" w:rsidRDefault="00E327F0" w:rsidP="00D677CC">
      <w:pPr>
        <w:rPr>
          <w:rFonts w:asciiTheme="minorHAnsi" w:hAnsiTheme="minorHAnsi" w:cstheme="minorHAnsi"/>
          <w:sz w:val="21"/>
          <w:szCs w:val="21"/>
        </w:rPr>
      </w:pPr>
    </w:p>
    <w:p w14:paraId="0BF1137B" w14:textId="5C689D6F" w:rsidR="00E327F0" w:rsidRDefault="00E327F0" w:rsidP="00D677CC">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9B1887">
        <w:rPr>
          <w:rFonts w:asciiTheme="minorHAnsi" w:hAnsiTheme="minorHAnsi" w:cstheme="minorHAnsi"/>
          <w:b/>
          <w:smallCaps/>
          <w:u w:val="single"/>
        </w:rPr>
        <w:t>Cultural Diversity</w:t>
      </w:r>
      <w:r w:rsidR="00D677CC">
        <w:rPr>
          <w:rFonts w:asciiTheme="minorHAnsi" w:hAnsiTheme="minorHAnsi" w:cstheme="minorHAnsi"/>
          <w:b/>
          <w:smallCaps/>
          <w:u w:val="single"/>
        </w:rPr>
        <w:t xml:space="preserve">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12FE1D1E" w:rsidR="00DF4218" w:rsidRDefault="009B1887" w:rsidP="00D677CC">
      <w:pPr>
        <w:rPr>
          <w:rFonts w:asciiTheme="minorHAnsi" w:hAnsiTheme="minorHAnsi" w:cstheme="minorHAnsi"/>
          <w:sz w:val="21"/>
          <w:szCs w:val="21"/>
        </w:rPr>
      </w:pPr>
      <w:r w:rsidRPr="009B1887">
        <w:rPr>
          <w:rFonts w:asciiTheme="minorHAnsi" w:hAnsiTheme="minorHAnsi" w:cstheme="minorHAnsi"/>
          <w:sz w:val="21"/>
          <w:szCs w:val="21"/>
        </w:rPr>
        <w:t>Diversity Learning Outcomes - students will</w:t>
      </w:r>
    </w:p>
    <w:p w14:paraId="4716C6AA" w14:textId="77777777" w:rsidR="009B1887" w:rsidRPr="009B1887" w:rsidRDefault="009B1887" w:rsidP="009B1887">
      <w:pPr>
        <w:numPr>
          <w:ilvl w:val="0"/>
          <w:numId w:val="18"/>
        </w:numPr>
        <w:rPr>
          <w:rFonts w:ascii="Arial" w:hAnsi="Arial" w:cs="Arial"/>
          <w:color w:val="222222"/>
          <w:sz w:val="20"/>
          <w:szCs w:val="20"/>
        </w:rPr>
      </w:pPr>
      <w:r w:rsidRPr="009B1887">
        <w:rPr>
          <w:rFonts w:ascii="Arial" w:hAnsi="Arial" w:cs="Arial"/>
          <w:color w:val="222222"/>
          <w:sz w:val="20"/>
          <w:szCs w:val="20"/>
        </w:rPr>
        <w:t>identify how values and contributions of diverse societies provide contexts for individual experiences, values, ideas, artistic expressions, and identities</w:t>
      </w:r>
    </w:p>
    <w:p w14:paraId="4FD02F77" w14:textId="77777777" w:rsidR="009B1887" w:rsidRPr="009B1887" w:rsidRDefault="009B1887" w:rsidP="009B1887">
      <w:pPr>
        <w:numPr>
          <w:ilvl w:val="0"/>
          <w:numId w:val="18"/>
        </w:numPr>
        <w:rPr>
          <w:rFonts w:ascii="Arial" w:hAnsi="Arial" w:cs="Arial"/>
          <w:color w:val="222222"/>
          <w:sz w:val="20"/>
          <w:szCs w:val="20"/>
        </w:rPr>
      </w:pPr>
      <w:r w:rsidRPr="009B1887">
        <w:rPr>
          <w:rFonts w:ascii="Arial" w:hAnsi="Arial" w:cs="Arial"/>
          <w:color w:val="222222"/>
          <w:sz w:val="20"/>
          <w:szCs w:val="20"/>
        </w:rPr>
        <w:t>identify the role diversity plays in the ability of biological organisms to adapt to a changing environment</w:t>
      </w:r>
    </w:p>
    <w:p w14:paraId="00B9C705" w14:textId="77777777" w:rsidR="009B1887" w:rsidRPr="009B1887" w:rsidRDefault="009B1887" w:rsidP="009B1887">
      <w:pPr>
        <w:numPr>
          <w:ilvl w:val="0"/>
          <w:numId w:val="18"/>
        </w:numPr>
        <w:rPr>
          <w:rFonts w:ascii="Arial" w:hAnsi="Arial" w:cs="Arial"/>
          <w:color w:val="222222"/>
          <w:sz w:val="20"/>
          <w:szCs w:val="20"/>
        </w:rPr>
      </w:pPr>
      <w:r w:rsidRPr="009B1887">
        <w:rPr>
          <w:rFonts w:ascii="Arial" w:hAnsi="Arial" w:cs="Arial"/>
          <w:color w:val="222222"/>
          <w:sz w:val="20"/>
          <w:szCs w:val="20"/>
        </w:rPr>
        <w:t>evaluate how diverse systems (both natural and human-made), technologies, or innovations emerge from, interact with, and affect various communities</w:t>
      </w:r>
    </w:p>
    <w:p w14:paraId="7214B5AC" w14:textId="77777777" w:rsidR="009B1887" w:rsidRPr="009B1887" w:rsidRDefault="009B1887" w:rsidP="009B1887">
      <w:pPr>
        <w:numPr>
          <w:ilvl w:val="0"/>
          <w:numId w:val="18"/>
        </w:numPr>
        <w:rPr>
          <w:rFonts w:ascii="Arial" w:hAnsi="Arial" w:cs="Arial"/>
          <w:color w:val="222222"/>
          <w:sz w:val="20"/>
          <w:szCs w:val="20"/>
        </w:rPr>
      </w:pPr>
      <w:r w:rsidRPr="009B1887">
        <w:rPr>
          <w:rFonts w:ascii="Arial" w:hAnsi="Arial" w:cs="Arial"/>
          <w:color w:val="222222"/>
          <w:sz w:val="20"/>
          <w:szCs w:val="20"/>
        </w:rPr>
        <w:t>collaborate with others in diverse interpersonal, intercultural, or international settings</w:t>
      </w:r>
    </w:p>
    <w:p w14:paraId="481703D3" w14:textId="05FD9B33" w:rsidR="006576A0" w:rsidRDefault="006576A0" w:rsidP="00D677CC">
      <w:pPr>
        <w:rPr>
          <w:rFonts w:asciiTheme="minorHAnsi" w:hAnsiTheme="minorHAnsi" w:cstheme="minorHAnsi"/>
          <w:smallCaps/>
          <w:sz w:val="21"/>
          <w:szCs w:val="21"/>
        </w:rPr>
      </w:pPr>
    </w:p>
    <w:p w14:paraId="6D37A3B4" w14:textId="0A9028BB" w:rsidR="009B1887" w:rsidRDefault="009B1887" w:rsidP="00D677CC">
      <w:pPr>
        <w:rPr>
          <w:rFonts w:asciiTheme="minorHAnsi" w:hAnsiTheme="minorHAnsi" w:cstheme="minorHAnsi"/>
          <w:smallCaps/>
          <w:sz w:val="21"/>
          <w:szCs w:val="21"/>
        </w:rPr>
      </w:pPr>
    </w:p>
    <w:p w14:paraId="5777369E" w14:textId="13773D71" w:rsidR="009B1887" w:rsidRDefault="009B1887" w:rsidP="00D677CC">
      <w:pPr>
        <w:rPr>
          <w:rFonts w:asciiTheme="minorHAnsi" w:hAnsiTheme="minorHAnsi" w:cstheme="minorHAnsi"/>
          <w:smallCaps/>
          <w:sz w:val="21"/>
          <w:szCs w:val="21"/>
        </w:rPr>
      </w:pPr>
    </w:p>
    <w:p w14:paraId="31396D74" w14:textId="4D52A32A" w:rsidR="009B1887" w:rsidRDefault="009B1887" w:rsidP="009B1887">
      <w:pPr>
        <w:rPr>
          <w:rFonts w:ascii="Calibri" w:hAnsi="Calibri"/>
          <w:b/>
          <w:smallCaps/>
          <w:szCs w:val="21"/>
          <w:u w:val="single"/>
        </w:rPr>
      </w:pPr>
      <w:r>
        <w:rPr>
          <w:rFonts w:ascii="Calibri" w:hAnsi="Calibri"/>
          <w:b/>
          <w:smallCaps/>
          <w:szCs w:val="21"/>
          <w:u w:val="single"/>
        </w:rPr>
        <w:t>General Education Approved Course for the Global Perspectives (G) Category</w:t>
      </w:r>
    </w:p>
    <w:p w14:paraId="0328CF4A" w14:textId="284FC629" w:rsidR="009B1887" w:rsidRDefault="009B1887" w:rsidP="009B1887">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has been approved by the NDSU Faculty Senate to meet the requirements for Global Perspectives.</w:t>
      </w:r>
    </w:p>
    <w:p w14:paraId="4FA4FCAF" w14:textId="77777777" w:rsidR="009B1887" w:rsidRDefault="009B1887" w:rsidP="009B1887">
      <w:pPr>
        <w:rPr>
          <w:rFonts w:asciiTheme="minorHAnsi" w:hAnsiTheme="minorHAnsi" w:cstheme="minorHAnsi"/>
          <w:sz w:val="21"/>
          <w:szCs w:val="21"/>
        </w:rPr>
      </w:pPr>
    </w:p>
    <w:p w14:paraId="077EA544" w14:textId="53472884" w:rsidR="009B1887" w:rsidRDefault="009B1887" w:rsidP="009B1887">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8A538F">
        <w:rPr>
          <w:rFonts w:asciiTheme="minorHAnsi" w:hAnsiTheme="minorHAnsi" w:cstheme="minorHAnsi"/>
          <w:b/>
          <w:smallCaps/>
          <w:u w:val="single"/>
        </w:rPr>
        <w:t>Global Perspectives</w:t>
      </w:r>
      <w:r>
        <w:rPr>
          <w:rFonts w:asciiTheme="minorHAnsi" w:hAnsiTheme="minorHAnsi" w:cstheme="minorHAnsi"/>
          <w:b/>
          <w:smallCaps/>
          <w:u w:val="single"/>
        </w:rPr>
        <w:t xml:space="preserve"> </w:t>
      </w:r>
      <w:r w:rsidRPr="006576A0">
        <w:rPr>
          <w:rFonts w:asciiTheme="minorHAnsi" w:hAnsiTheme="minorHAnsi" w:cstheme="minorHAnsi"/>
          <w:b/>
          <w:smallCaps/>
          <w:u w:val="single"/>
        </w:rPr>
        <w:t>Learning Outcome</w:t>
      </w:r>
    </w:p>
    <w:p w14:paraId="2096C419" w14:textId="1B8945B0" w:rsidR="009B1887" w:rsidRDefault="009B1887" w:rsidP="009B1887">
      <w:pPr>
        <w:rPr>
          <w:rFonts w:asciiTheme="minorHAnsi" w:hAnsiTheme="minorHAnsi" w:cstheme="minorHAnsi"/>
          <w:sz w:val="21"/>
          <w:szCs w:val="21"/>
        </w:rPr>
      </w:pPr>
      <w:r w:rsidRPr="009B1887">
        <w:rPr>
          <w:rFonts w:asciiTheme="minorHAnsi" w:hAnsiTheme="minorHAnsi" w:cstheme="minorHAnsi"/>
          <w:sz w:val="21"/>
          <w:szCs w:val="21"/>
        </w:rPr>
        <w:t>Global Perspectives Learning Outcomes - students will</w:t>
      </w:r>
    </w:p>
    <w:p w14:paraId="5480B925" w14:textId="77777777" w:rsidR="009B1887" w:rsidRPr="009B1887" w:rsidRDefault="009B1887" w:rsidP="009B1887">
      <w:pPr>
        <w:numPr>
          <w:ilvl w:val="0"/>
          <w:numId w:val="20"/>
        </w:numPr>
        <w:rPr>
          <w:rFonts w:ascii="Arial" w:hAnsi="Arial" w:cs="Arial"/>
          <w:color w:val="222222"/>
          <w:sz w:val="20"/>
          <w:szCs w:val="20"/>
        </w:rPr>
      </w:pPr>
      <w:r w:rsidRPr="009B1887">
        <w:rPr>
          <w:rFonts w:ascii="Arial" w:hAnsi="Arial" w:cs="Arial"/>
          <w:color w:val="222222"/>
          <w:sz w:val="20"/>
          <w:szCs w:val="20"/>
        </w:rPr>
        <w:t>apply theories or research methods to develop strategies and solutions that address global challenges</w:t>
      </w:r>
    </w:p>
    <w:p w14:paraId="694BB4BA" w14:textId="77777777" w:rsidR="009B1887" w:rsidRPr="009B1887" w:rsidRDefault="009B1887" w:rsidP="009B1887">
      <w:pPr>
        <w:numPr>
          <w:ilvl w:val="0"/>
          <w:numId w:val="20"/>
        </w:numPr>
        <w:rPr>
          <w:rFonts w:ascii="Arial" w:hAnsi="Arial" w:cs="Arial"/>
          <w:color w:val="222222"/>
          <w:sz w:val="20"/>
          <w:szCs w:val="20"/>
        </w:rPr>
      </w:pPr>
      <w:r w:rsidRPr="009B1887">
        <w:rPr>
          <w:rFonts w:ascii="Arial" w:hAnsi="Arial" w:cs="Arial"/>
          <w:color w:val="222222"/>
          <w:sz w:val="20"/>
          <w:szCs w:val="20"/>
        </w:rPr>
        <w:t>identify potential benefits and explore the opportunities of being a global citizen</w:t>
      </w:r>
    </w:p>
    <w:p w14:paraId="1861402E" w14:textId="77777777" w:rsidR="009B1887" w:rsidRPr="009B1887" w:rsidRDefault="009B1887" w:rsidP="009B1887">
      <w:pPr>
        <w:numPr>
          <w:ilvl w:val="0"/>
          <w:numId w:val="20"/>
        </w:numPr>
        <w:rPr>
          <w:rFonts w:ascii="Arial" w:hAnsi="Arial" w:cs="Arial"/>
          <w:color w:val="222222"/>
          <w:sz w:val="20"/>
          <w:szCs w:val="20"/>
        </w:rPr>
      </w:pPr>
      <w:r w:rsidRPr="009B1887">
        <w:rPr>
          <w:rFonts w:ascii="Arial" w:hAnsi="Arial" w:cs="Arial"/>
          <w:color w:val="222222"/>
          <w:sz w:val="20"/>
          <w:szCs w:val="20"/>
        </w:rPr>
        <w:t>analyze how communities are impacted by and/or contribute to globalization from various perspectives</w:t>
      </w:r>
    </w:p>
    <w:p w14:paraId="65E7DACF" w14:textId="77777777" w:rsidR="009B1887" w:rsidRPr="009B1887" w:rsidRDefault="009B1887" w:rsidP="009B1887">
      <w:pPr>
        <w:numPr>
          <w:ilvl w:val="0"/>
          <w:numId w:val="20"/>
        </w:numPr>
        <w:rPr>
          <w:rFonts w:ascii="Arial" w:hAnsi="Arial" w:cs="Arial"/>
          <w:color w:val="222222"/>
          <w:sz w:val="20"/>
          <w:szCs w:val="20"/>
        </w:rPr>
      </w:pPr>
      <w:r w:rsidRPr="009B1887">
        <w:rPr>
          <w:rFonts w:ascii="Arial" w:hAnsi="Arial" w:cs="Arial"/>
          <w:color w:val="222222"/>
          <w:sz w:val="20"/>
          <w:szCs w:val="20"/>
        </w:rPr>
        <w:t>analyze the process and/or develop models of global trends</w:t>
      </w:r>
    </w:p>
    <w:p w14:paraId="0AC21696" w14:textId="77777777" w:rsidR="009B1887" w:rsidRPr="009B1887" w:rsidRDefault="009B1887" w:rsidP="009B1887">
      <w:pPr>
        <w:numPr>
          <w:ilvl w:val="0"/>
          <w:numId w:val="20"/>
        </w:numPr>
        <w:rPr>
          <w:rFonts w:ascii="Arial" w:hAnsi="Arial" w:cs="Arial"/>
          <w:color w:val="222222"/>
          <w:sz w:val="20"/>
          <w:szCs w:val="20"/>
        </w:rPr>
      </w:pPr>
      <w:r w:rsidRPr="009B1887">
        <w:rPr>
          <w:rFonts w:ascii="Arial" w:hAnsi="Arial" w:cs="Arial"/>
          <w:color w:val="222222"/>
          <w:sz w:val="20"/>
          <w:szCs w:val="20"/>
        </w:rPr>
        <w:t>evaluate global phenomena using perspectives, attitudes and beliefs of communities with cultural backgrounds different from their own</w:t>
      </w:r>
    </w:p>
    <w:p w14:paraId="607CDD0F" w14:textId="77777777" w:rsidR="009B1887" w:rsidRPr="006576A0" w:rsidRDefault="009B1887" w:rsidP="00D677CC">
      <w:pPr>
        <w:rPr>
          <w:rFonts w:asciiTheme="minorHAnsi" w:hAnsiTheme="minorHAnsi" w:cstheme="minorHAnsi"/>
          <w:smallCaps/>
          <w:sz w:val="21"/>
          <w:szCs w:val="21"/>
        </w:rPr>
      </w:pPr>
    </w:p>
    <w:sectPr w:rsidR="009B1887" w:rsidRPr="006576A0" w:rsidSect="00EF74AE">
      <w:foot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BD21" w14:textId="77777777" w:rsidR="005E3F58" w:rsidRDefault="005E3F58" w:rsidP="000A011C">
      <w:r>
        <w:separator/>
      </w:r>
    </w:p>
  </w:endnote>
  <w:endnote w:type="continuationSeparator" w:id="0">
    <w:p w14:paraId="6185C00C" w14:textId="77777777" w:rsidR="005E3F58" w:rsidRDefault="005E3F58"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279F6" w14:textId="77777777" w:rsidR="005E3F58" w:rsidRDefault="005E3F58" w:rsidP="000A011C">
      <w:r>
        <w:separator/>
      </w:r>
    </w:p>
  </w:footnote>
  <w:footnote w:type="continuationSeparator" w:id="0">
    <w:p w14:paraId="1A3640FF" w14:textId="77777777" w:rsidR="005E3F58" w:rsidRDefault="005E3F58"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BF2"/>
    <w:multiLevelType w:val="multilevel"/>
    <w:tmpl w:val="75584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222D06"/>
    <w:multiLevelType w:val="multilevel"/>
    <w:tmpl w:val="75584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A41844"/>
    <w:multiLevelType w:val="multilevel"/>
    <w:tmpl w:val="17BC0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12464F"/>
    <w:multiLevelType w:val="multilevel"/>
    <w:tmpl w:val="75584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1"/>
  </w:num>
  <w:num w:numId="3">
    <w:abstractNumId w:val="10"/>
  </w:num>
  <w:num w:numId="4">
    <w:abstractNumId w:val="8"/>
  </w:num>
  <w:num w:numId="5">
    <w:abstractNumId w:val="17"/>
  </w:num>
  <w:num w:numId="6">
    <w:abstractNumId w:val="3"/>
  </w:num>
  <w:num w:numId="7">
    <w:abstractNumId w:val="7"/>
  </w:num>
  <w:num w:numId="8">
    <w:abstractNumId w:val="12"/>
  </w:num>
  <w:num w:numId="9">
    <w:abstractNumId w:val="9"/>
  </w:num>
  <w:num w:numId="10">
    <w:abstractNumId w:val="18"/>
  </w:num>
  <w:num w:numId="11">
    <w:abstractNumId w:val="1"/>
  </w:num>
  <w:num w:numId="12">
    <w:abstractNumId w:val="13"/>
  </w:num>
  <w:num w:numId="13">
    <w:abstractNumId w:val="6"/>
  </w:num>
  <w:num w:numId="14">
    <w:abstractNumId w:val="15"/>
  </w:num>
  <w:num w:numId="15">
    <w:abstractNumId w:val="16"/>
  </w:num>
  <w:num w:numId="16">
    <w:abstractNumId w:val="2"/>
  </w:num>
  <w:num w:numId="17">
    <w:abstractNumId w:val="14"/>
  </w:num>
  <w:num w:numId="18">
    <w:abstractNumId w:val="0"/>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71CC2"/>
    <w:rsid w:val="000854C9"/>
    <w:rsid w:val="00093203"/>
    <w:rsid w:val="00094F16"/>
    <w:rsid w:val="000A011C"/>
    <w:rsid w:val="000A3540"/>
    <w:rsid w:val="000A396B"/>
    <w:rsid w:val="000A47AE"/>
    <w:rsid w:val="000C050A"/>
    <w:rsid w:val="000F3FFA"/>
    <w:rsid w:val="001013FC"/>
    <w:rsid w:val="00112645"/>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75031"/>
    <w:rsid w:val="002B567F"/>
    <w:rsid w:val="002C18C0"/>
    <w:rsid w:val="002F72E0"/>
    <w:rsid w:val="00301580"/>
    <w:rsid w:val="00317527"/>
    <w:rsid w:val="00380E7D"/>
    <w:rsid w:val="00384808"/>
    <w:rsid w:val="003B4984"/>
    <w:rsid w:val="00414DD4"/>
    <w:rsid w:val="00422291"/>
    <w:rsid w:val="00453437"/>
    <w:rsid w:val="004614D1"/>
    <w:rsid w:val="00474036"/>
    <w:rsid w:val="004C0B2E"/>
    <w:rsid w:val="004C724D"/>
    <w:rsid w:val="004D3DE1"/>
    <w:rsid w:val="004E14C3"/>
    <w:rsid w:val="004E27B7"/>
    <w:rsid w:val="004F37E0"/>
    <w:rsid w:val="00501B79"/>
    <w:rsid w:val="00525401"/>
    <w:rsid w:val="005518D5"/>
    <w:rsid w:val="00564DE0"/>
    <w:rsid w:val="00584AAF"/>
    <w:rsid w:val="00586595"/>
    <w:rsid w:val="005E3F58"/>
    <w:rsid w:val="005F1D35"/>
    <w:rsid w:val="005F22D0"/>
    <w:rsid w:val="00612782"/>
    <w:rsid w:val="00647A23"/>
    <w:rsid w:val="006553FF"/>
    <w:rsid w:val="006576A0"/>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A538F"/>
    <w:rsid w:val="008B3722"/>
    <w:rsid w:val="008B3D9E"/>
    <w:rsid w:val="008E5ECD"/>
    <w:rsid w:val="008F70C1"/>
    <w:rsid w:val="009359A7"/>
    <w:rsid w:val="009362B0"/>
    <w:rsid w:val="009827E3"/>
    <w:rsid w:val="009B084E"/>
    <w:rsid w:val="009B1887"/>
    <w:rsid w:val="009C2DC0"/>
    <w:rsid w:val="009F7F5B"/>
    <w:rsid w:val="00A131DB"/>
    <w:rsid w:val="00A17518"/>
    <w:rsid w:val="00A832E4"/>
    <w:rsid w:val="00AA2361"/>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677CC"/>
    <w:rsid w:val="00D93A6D"/>
    <w:rsid w:val="00DB19B2"/>
    <w:rsid w:val="00DB617C"/>
    <w:rsid w:val="00DC1D5A"/>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8763">
      <w:bodyDiv w:val="1"/>
      <w:marLeft w:val="0"/>
      <w:marRight w:val="0"/>
      <w:marTop w:val="0"/>
      <w:marBottom w:val="0"/>
      <w:divBdr>
        <w:top w:val="none" w:sz="0" w:space="0" w:color="auto"/>
        <w:left w:val="none" w:sz="0" w:space="0" w:color="auto"/>
        <w:bottom w:val="none" w:sz="0" w:space="0" w:color="auto"/>
        <w:right w:val="none" w:sz="0" w:space="0" w:color="auto"/>
      </w:divBdr>
    </w:div>
    <w:div w:id="95104995">
      <w:bodyDiv w:val="1"/>
      <w:marLeft w:val="0"/>
      <w:marRight w:val="0"/>
      <w:marTop w:val="0"/>
      <w:marBottom w:val="0"/>
      <w:divBdr>
        <w:top w:val="none" w:sz="0" w:space="0" w:color="auto"/>
        <w:left w:val="none" w:sz="0" w:space="0" w:color="auto"/>
        <w:bottom w:val="none" w:sz="0" w:space="0" w:color="auto"/>
        <w:right w:val="none" w:sz="0" w:space="0" w:color="auto"/>
      </w:divBdr>
    </w:div>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29963">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2031</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2018-10-15T19:03:00Z</dcterms:created>
  <dcterms:modified xsi:type="dcterms:W3CDTF">2018-10-15T19:03:00Z</dcterms:modified>
</cp:coreProperties>
</file>